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8E59E" w14:textId="77777777" w:rsidR="000D32D4" w:rsidRDefault="000D32D4" w:rsidP="000D32D4">
      <w:pPr>
        <w:spacing w:before="51" w:line="213" w:lineRule="auto"/>
        <w:ind w:left="102" w:right="258"/>
        <w:jc w:val="center"/>
        <w:rPr>
          <w:sz w:val="40"/>
        </w:rPr>
      </w:pPr>
      <w:r>
        <w:rPr>
          <w:sz w:val="40"/>
          <w:lang w:val="zh-Hans"/>
        </w:rPr>
        <w:t>金融机构执行共同申报及尽职审查作业办法总说明</w:t>
      </w:r>
    </w:p>
    <w:p w14:paraId="7A8DA6A0" w14:textId="77777777" w:rsidR="000D32D4" w:rsidRDefault="000D32D4" w:rsidP="00DC0553">
      <w:pPr>
        <w:pStyle w:val="a3"/>
        <w:spacing w:before="83" w:line="307" w:lineRule="auto"/>
        <w:ind w:left="102" w:right="251" w:firstLine="573"/>
        <w:jc w:val="both"/>
      </w:pPr>
      <w:r>
        <w:rPr>
          <w:lang w:val="zh-Hans"/>
        </w:rPr>
        <w:t>为因应国际日益提升信息透明标准，维护租税公平及保障合宜税收，一百零六年六月十四日增订公布税捐稽征法第五条之一、第四十六条之一，我国具备依国际新信息透明标准互惠进行税务用途信息（含金融账户信息）自动交换及相互提供其他税务协助之法源依据。 为利前开制度运作及征纳双方遵循，参据经济合作暨发展组织发布税务用途金融账户信息自动交换准则之共同申报及尽职审查准则订定金融机构执行共同申报及尽职审查作业办法（以下简称本办法）共54条，期建立与国际一致性标准，提升跨国互助合作效益，其要点如下：</w:t>
      </w:r>
    </w:p>
    <w:p w14:paraId="273E4C3A" w14:textId="77777777" w:rsidR="000D32D4" w:rsidRDefault="000D32D4" w:rsidP="00DC0553">
      <w:pPr>
        <w:pStyle w:val="a3"/>
        <w:spacing w:before="6"/>
        <w:ind w:left="102"/>
      </w:pPr>
      <w:r>
        <w:rPr>
          <w:lang w:val="zh-Hans"/>
        </w:rPr>
        <w:t>一、本办法之法律授权依据。 （第一条）</w:t>
      </w:r>
    </w:p>
    <w:p w14:paraId="1BFF098A" w14:textId="77777777" w:rsidR="000D32D4" w:rsidRDefault="000D32D4" w:rsidP="00DC0553">
      <w:pPr>
        <w:pStyle w:val="a3"/>
        <w:spacing w:before="102" w:line="307" w:lineRule="auto"/>
        <w:ind w:left="661" w:right="254" w:hanging="560"/>
        <w:jc w:val="both"/>
      </w:pPr>
      <w:r>
        <w:rPr>
          <w:lang w:val="zh-Hans"/>
        </w:rPr>
        <w:t>二、我国境内之金融机构应进行税务用途金融账户信息交换尽职审查， 于审查后向税捐稽征机关申报应申报国居住者之税务用途金融账户信息;定明我国境内之金融机构。 （第二条）</w:t>
      </w:r>
    </w:p>
    <w:p w14:paraId="221DBD04" w14:textId="77777777" w:rsidR="000D32D4" w:rsidRDefault="000D32D4" w:rsidP="00DC0553">
      <w:pPr>
        <w:pStyle w:val="a3"/>
        <w:spacing w:line="307" w:lineRule="auto"/>
        <w:ind w:left="102" w:right="1483"/>
      </w:pPr>
      <w:r>
        <w:rPr>
          <w:lang w:val="zh-Hans"/>
        </w:rPr>
        <w:t>三、免办理尽职审查及申报之我国境内金融机构。 （第三条） 四、定义实体及关系实体。 （第四条）</w:t>
      </w:r>
    </w:p>
    <w:p w14:paraId="69E8F9AC" w14:textId="77777777" w:rsidR="000D32D4" w:rsidRDefault="000D32D4" w:rsidP="00DC0553">
      <w:pPr>
        <w:pStyle w:val="a3"/>
        <w:spacing w:before="1" w:line="307" w:lineRule="auto"/>
        <w:ind w:left="661" w:right="260" w:hanging="560"/>
      </w:pPr>
      <w:r>
        <w:rPr>
          <w:lang w:val="zh-Hans"/>
        </w:rPr>
        <w:t>五、定义申报金融机构包括存款机构、保管机构、投资实体及特定保险公司。 （第五条至第十条）</w:t>
      </w:r>
    </w:p>
    <w:p w14:paraId="29BF36AB" w14:textId="77777777" w:rsidR="000D32D4" w:rsidRDefault="000D32D4" w:rsidP="00DC0553">
      <w:pPr>
        <w:pStyle w:val="a3"/>
        <w:spacing w:line="307" w:lineRule="auto"/>
        <w:ind w:left="661" w:right="254" w:hanging="560"/>
        <w:jc w:val="both"/>
      </w:pPr>
      <w:r>
        <w:rPr>
          <w:lang w:val="zh-Hans"/>
        </w:rPr>
        <w:t>六、定义免办理尽职审查及申报之金融机构，包括政府实体、广泛参加人之退休基金、少数参加人之退休基金、免申报信用卡发卡机构及免申报集合投资工具。 （第十一条至第十五条）</w:t>
      </w:r>
    </w:p>
    <w:p w14:paraId="27A10947" w14:textId="77777777" w:rsidR="000D32D4" w:rsidRDefault="000D32D4" w:rsidP="00DC0553">
      <w:pPr>
        <w:pStyle w:val="a3"/>
        <w:spacing w:line="307" w:lineRule="auto"/>
        <w:ind w:left="661" w:right="253" w:hanging="560"/>
        <w:jc w:val="both"/>
      </w:pPr>
      <w:r>
        <w:rPr>
          <w:lang w:val="zh-Hans"/>
        </w:rPr>
        <w:t>七、定义金融账户包括存款账户、保管账户、持有投资实体权益或债权账户、具现金价值保险契约或年金保险契约账户。 （第十六条至第二十一条）</w:t>
      </w:r>
    </w:p>
    <w:p w14:paraId="67EDA363" w14:textId="77777777" w:rsidR="000D32D4" w:rsidRDefault="000D32D4" w:rsidP="00DC0553">
      <w:pPr>
        <w:pStyle w:val="a3"/>
        <w:ind w:left="102"/>
      </w:pPr>
      <w:r>
        <w:rPr>
          <w:lang w:val="zh-Hans"/>
        </w:rPr>
        <w:t>八、定义既有账户、新账户、较低资产账户、高资产账户及被排除账户。</w:t>
      </w:r>
    </w:p>
    <w:p w14:paraId="22A1E874" w14:textId="77777777" w:rsidR="000D32D4" w:rsidRDefault="000D32D4" w:rsidP="00DC0553">
      <w:pPr>
        <w:pStyle w:val="a3"/>
        <w:spacing w:before="99"/>
        <w:ind w:left="661"/>
      </w:pPr>
      <w:r>
        <w:rPr>
          <w:lang w:val="zh-Hans"/>
        </w:rPr>
        <w:t>（第二十二条及第二十三条）</w:t>
      </w:r>
    </w:p>
    <w:p w14:paraId="385F7BAA" w14:textId="77777777" w:rsidR="000D32D4" w:rsidRDefault="000D32D4" w:rsidP="00DC0553">
      <w:pPr>
        <w:pStyle w:val="a3"/>
        <w:spacing w:before="102" w:line="307" w:lineRule="auto"/>
        <w:ind w:left="661" w:right="112" w:hanging="560"/>
      </w:pPr>
      <w:r>
        <w:rPr>
          <w:lang w:val="zh-Hans"/>
        </w:rPr>
        <w:t>九、定义应申报账户指由应申报国居住者或具控制权之人为应申报国居</w:t>
      </w:r>
      <w:r>
        <w:rPr>
          <w:spacing w:val="-5"/>
          <w:lang w:val="zh-Hans"/>
        </w:rPr>
        <w:t xml:space="preserve">住者之消极非金融机构实体持有或共同持有之账户。 </w:t>
      </w:r>
      <w:r>
        <w:rPr>
          <w:lang w:val="zh-Hans"/>
        </w:rPr>
        <w:t xml:space="preserve"> （</w:t>
      </w:r>
      <w:r>
        <w:rPr>
          <w:spacing w:val="-1"/>
          <w:lang w:val="zh-Hans"/>
        </w:rPr>
        <w:t>第二十四条</w:t>
      </w:r>
      <w:r>
        <w:rPr>
          <w:spacing w:val="-12"/>
          <w:lang w:val="zh-Hans"/>
        </w:rPr>
        <w:t>）</w:t>
      </w:r>
    </w:p>
    <w:p w14:paraId="4217F436" w14:textId="77777777" w:rsidR="000D32D4" w:rsidRDefault="000D32D4" w:rsidP="00DC0553">
      <w:pPr>
        <w:spacing w:line="307" w:lineRule="auto"/>
        <w:sectPr w:rsidR="000D32D4">
          <w:footerReference w:type="default" r:id="rId7"/>
          <w:type w:val="continuous"/>
          <w:pgSz w:w="11910" w:h="16840"/>
          <w:pgMar w:top="1360" w:right="1160" w:bottom="1460" w:left="1600" w:header="720" w:footer="1278" w:gutter="0"/>
          <w:pgNumType w:start="1"/>
          <w:cols w:space="720"/>
        </w:sectPr>
      </w:pPr>
    </w:p>
    <w:p w14:paraId="2C009216" w14:textId="77777777" w:rsidR="000D32D4" w:rsidRDefault="000D32D4" w:rsidP="00DC0553">
      <w:pPr>
        <w:pStyle w:val="a3"/>
        <w:spacing w:before="27" w:line="307" w:lineRule="auto"/>
        <w:ind w:left="661" w:right="254" w:hanging="560"/>
        <w:jc w:val="both"/>
      </w:pPr>
      <w:r>
        <w:rPr>
          <w:lang w:val="zh-Hans"/>
        </w:rPr>
        <w:lastRenderedPageBreak/>
        <w:t>十、定义应申报国居住者、外国账户、外国居住者、具控制权之人、积极非金融机构实体、消极非金融机构实体及账户持有人。 （第二十五条至第三十二条）</w:t>
      </w:r>
    </w:p>
    <w:p w14:paraId="2CF120FF" w14:textId="77777777" w:rsidR="000D32D4" w:rsidRDefault="000D32D4" w:rsidP="00DC0553">
      <w:pPr>
        <w:pStyle w:val="a3"/>
        <w:spacing w:line="307" w:lineRule="auto"/>
        <w:ind w:right="254" w:hanging="840"/>
      </w:pPr>
      <w:r>
        <w:rPr>
          <w:lang w:val="zh-Hans"/>
        </w:rPr>
        <w:t>十一、申报金融机构应依规定就既有个人账户、新个人账户、既有实体账户及新实体账户进行尽职审查，辨识外国账户及应申报账户。</w:t>
      </w:r>
    </w:p>
    <w:p w14:paraId="398BA9A8" w14:textId="77777777" w:rsidR="000D32D4" w:rsidRDefault="000D32D4" w:rsidP="00DC0553">
      <w:pPr>
        <w:pStyle w:val="a3"/>
        <w:spacing w:before="1"/>
      </w:pPr>
      <w:r>
        <w:rPr>
          <w:lang w:val="zh-Hans"/>
        </w:rPr>
        <w:t>（第三十三条）</w:t>
      </w:r>
    </w:p>
    <w:p w14:paraId="3DF875C3" w14:textId="77777777" w:rsidR="000D32D4" w:rsidRDefault="000D32D4" w:rsidP="00DC0553">
      <w:pPr>
        <w:pStyle w:val="a3"/>
        <w:spacing w:before="102" w:line="307" w:lineRule="auto"/>
        <w:ind w:right="252" w:hanging="840"/>
      </w:pPr>
      <w:r>
        <w:rPr>
          <w:lang w:val="zh-Hans"/>
        </w:rPr>
        <w:t>十二、申报金融机构就既有个人账户进行尽职审查程序之规定。 （第三十五条至第三十九条）</w:t>
      </w:r>
    </w:p>
    <w:p w14:paraId="7FCA8A9C" w14:textId="77777777" w:rsidR="000D32D4" w:rsidRDefault="000D32D4" w:rsidP="00DC0553">
      <w:pPr>
        <w:pStyle w:val="a3"/>
        <w:spacing w:before="1" w:line="307" w:lineRule="auto"/>
        <w:ind w:right="252" w:hanging="840"/>
      </w:pPr>
      <w:r>
        <w:rPr>
          <w:lang w:val="zh-Hans"/>
        </w:rPr>
        <w:t>十三、申报金融机构就新个人账户进行尽职审查程序之规定。 （第四十条）</w:t>
      </w:r>
    </w:p>
    <w:p w14:paraId="18347B89" w14:textId="77777777" w:rsidR="000D32D4" w:rsidRDefault="000D32D4" w:rsidP="00DC0553">
      <w:pPr>
        <w:pStyle w:val="a3"/>
        <w:spacing w:before="1" w:line="307" w:lineRule="auto"/>
        <w:ind w:right="252" w:hanging="840"/>
      </w:pPr>
      <w:r>
        <w:rPr>
          <w:lang w:val="zh-Hans"/>
        </w:rPr>
        <w:t>十四、申报金融机构就既有实体账户进行尽职审查程序之规定。 （第四十一条至第四十四条）</w:t>
      </w:r>
    </w:p>
    <w:p w14:paraId="3073E9CC" w14:textId="77777777" w:rsidR="000D32D4" w:rsidRDefault="000D32D4" w:rsidP="00DC0553">
      <w:pPr>
        <w:pStyle w:val="a3"/>
        <w:spacing w:line="307" w:lineRule="auto"/>
        <w:ind w:right="252" w:hanging="840"/>
      </w:pPr>
      <w:r>
        <w:rPr>
          <w:lang w:val="zh-Hans"/>
        </w:rPr>
        <w:t>十五、申报金融机构就新实体账户进行尽职审查程序之规定。 （第四十五条及第四十六条）</w:t>
      </w:r>
    </w:p>
    <w:p w14:paraId="69DD0555" w14:textId="77777777" w:rsidR="000D32D4" w:rsidRDefault="000D32D4" w:rsidP="00DC0553">
      <w:pPr>
        <w:pStyle w:val="a3"/>
        <w:spacing w:before="1"/>
        <w:ind w:left="102"/>
      </w:pPr>
      <w:r>
        <w:rPr>
          <w:lang w:val="zh-Hans"/>
        </w:rPr>
        <w:t>十六、申报金融机构应向税捐稽征机关申报应申报账户之信息及期限。</w:t>
      </w:r>
    </w:p>
    <w:p w14:paraId="5F227FFE" w14:textId="77777777" w:rsidR="000D32D4" w:rsidRDefault="000D32D4" w:rsidP="00DC0553">
      <w:pPr>
        <w:pStyle w:val="a3"/>
        <w:spacing w:before="102"/>
      </w:pPr>
      <w:r>
        <w:rPr>
          <w:lang w:val="zh-Hans"/>
        </w:rPr>
        <w:t>（第五十条及第五十一条）</w:t>
      </w:r>
    </w:p>
    <w:p w14:paraId="4995259D" w14:textId="77777777" w:rsidR="000D32D4" w:rsidRDefault="000D32D4" w:rsidP="00DC0553">
      <w:pPr>
        <w:pStyle w:val="a3"/>
        <w:spacing w:before="100" w:line="307" w:lineRule="auto"/>
        <w:ind w:right="252" w:hanging="840"/>
      </w:pPr>
      <w:r>
        <w:rPr>
          <w:lang w:val="zh-Hans"/>
        </w:rPr>
        <w:t>十七、申报金融机构得授权他人代理进行尽职审查及申报信息。 （第五十二条）</w:t>
      </w:r>
    </w:p>
    <w:p w14:paraId="79D0D8EA" w14:textId="77777777" w:rsidR="000D32D4" w:rsidRDefault="000D32D4" w:rsidP="00DC0553">
      <w:pPr>
        <w:pStyle w:val="a3"/>
        <w:spacing w:line="307" w:lineRule="auto"/>
        <w:ind w:right="254" w:hanging="840"/>
      </w:pPr>
      <w:r>
        <w:rPr>
          <w:lang w:val="zh-Hans"/>
        </w:rPr>
        <w:t>十八、金融机构进行尽职审查与申报之相关纪录及文据保存年限。 （第五十三条）</w:t>
      </w:r>
    </w:p>
    <w:p w14:paraId="5C1E83E4" w14:textId="77777777" w:rsidR="000D32D4" w:rsidRDefault="000D32D4" w:rsidP="00DC0553">
      <w:pPr>
        <w:pStyle w:val="a3"/>
        <w:spacing w:before="1"/>
        <w:ind w:left="102"/>
      </w:pPr>
      <w:r>
        <w:rPr>
          <w:lang w:val="zh-Hans"/>
        </w:rPr>
        <w:t>十九、本办法施行日期。 （第五十四条）</w:t>
      </w:r>
    </w:p>
    <w:p w14:paraId="75113EA1" w14:textId="5C547AD3" w:rsidR="001F003E" w:rsidRDefault="001F003E">
      <w:pPr>
        <w:pStyle w:val="a3"/>
        <w:spacing w:before="1"/>
        <w:ind w:left="102"/>
      </w:pPr>
    </w:p>
    <w:sectPr w:rsidR="001F003E">
      <w:footerReference w:type="default" r:id="rId8"/>
      <w:pgSz w:w="11910" w:h="16840"/>
      <w:pgMar w:top="1460" w:right="1160" w:bottom="1460" w:left="1600" w:header="0" w:footer="12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99FA8" w14:textId="77777777" w:rsidR="008F2AE8" w:rsidRDefault="008F2AE8">
      <w:r>
        <w:separator/>
      </w:r>
    </w:p>
  </w:endnote>
  <w:endnote w:type="continuationSeparator" w:id="0">
    <w:p w14:paraId="1E5F9EF8" w14:textId="77777777" w:rsidR="008F2AE8" w:rsidRDefault="008F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B5296" w14:textId="77777777" w:rsidR="000D32D4" w:rsidRDefault="000D32D4">
    <w:pPr>
      <w:pStyle w:val="a3"/>
      <w:spacing w:before="0" w:line="14" w:lineRule="auto"/>
      <w:ind w:left="0"/>
      <w:rPr>
        <w:sz w:val="20"/>
      </w:rPr>
    </w:pPr>
    <w:r>
      <w:pict w14:anchorId="19B69779">
        <v:shapetype id="_x0000_t202" coordsize="21600,21600" o:spt="202" path="m,l,21600r21600,l21600,xe">
          <v:stroke joinstyle="miter"/>
          <v:path gradientshapeok="t" o:connecttype="rect"/>
        </v:shapetype>
        <v:shape id="_x0000_s2051" type="#_x0000_t202" style="position:absolute;margin-left:300.2pt;margin-top:767pt;width:9pt;height:13.05pt;z-index:-251656704;mso-position-horizontal-relative:page;mso-position-vertical-relative:page" filled="f" stroked="f">
          <v:textbox inset="0,0,0,0">
            <w:txbxContent>
              <w:p w14:paraId="0CDDC80A" w14:textId="77777777" w:rsidR="000D32D4" w:rsidRDefault="000D32D4">
                <w:pPr>
                  <w:spacing w:before="10"/>
                  <w:ind w:left="40"/>
                  <w:rPr>
                    <w:rFonts w:ascii="Times New Roman"/>
                    <w:sz w:val="20"/>
                  </w:rPr>
                </w:pPr>
                <w:r>
                  <w:rPr>
                    <w:lang w:val="zh-Hans"/>
                  </w:rPr>
                  <w:fldChar w:fldCharType="begin"/>
                </w:r>
                <w:r>
                  <w:rPr>
                    <w:w w:val="99"/>
                    <w:sz w:val="20"/>
                    <w:lang w:val="zh-Hans"/>
                  </w:rPr>
                  <w:instrText xml:space="preserve"> PAGE </w:instrText>
                </w:r>
                <w:r>
                  <w:rPr>
                    <w:lang w:val="zh-Hans"/>
                  </w:rPr>
                  <w:fldChar w:fldCharType="separate"/>
                </w:r>
                <w:r>
                  <w:rPr>
                    <w:lang w:val="zh-Hans"/>
                  </w:rPr>
                  <w:t>1</w:t>
                </w:r>
                <w:r>
                  <w:rPr>
                    <w:lang w:val="zh-Hans"/>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AC05A" w14:textId="77777777" w:rsidR="001F003E" w:rsidRDefault="008F2AE8">
    <w:pPr>
      <w:pStyle w:val="a3"/>
      <w:spacing w:before="0" w:line="14" w:lineRule="auto"/>
      <w:ind w:left="0"/>
      <w:rPr>
        <w:sz w:val="20"/>
      </w:rPr>
    </w:pPr>
    <w:r>
      <w:pict w14:anchorId="19C0ED2F">
        <v:shapetype id="_x0000_t202" coordsize="21600,21600" o:spt="202" path="m,l,21600r21600,l21600,xe">
          <v:stroke joinstyle="miter"/>
          <v:path gradientshapeok="t" o:connecttype="rect"/>
        </v:shapetype>
        <v:shape id="_x0000_s2049" type="#_x0000_t202" style="position:absolute;margin-left:300.2pt;margin-top:767pt;width:9pt;height:13.05pt;z-index:-251658752;mso-position-horizontal-relative:page;mso-position-vertical-relative:page" filled="f" stroked="f">
          <v:textbox inset="0,0,0,0">
            <w:txbxContent>
              <w:p w14:paraId="1957EC62" w14:textId="77777777" w:rsidR="001F003E" w:rsidRDefault="008F2AE8">
                <w:pPr>
                  <w:spacing w:before="10"/>
                  <w:ind w:left="40"/>
                  <w:rPr>
                    <w:rFonts w:ascii="Times New Roman"/>
                    <w:sz w:val="20"/>
                  </w:rPr>
                </w:pPr>
                <w:r>
                  <w:fldChar w:fldCharType="begin"/>
                </w:r>
                <w:r>
                  <w:rPr>
                    <w:rFonts w:ascii="Times New Roman"/>
                    <w:w w:val="99"/>
                    <w:sz w:val="20"/>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6C174" w14:textId="77777777" w:rsidR="008F2AE8" w:rsidRDefault="008F2AE8">
      <w:r>
        <w:separator/>
      </w:r>
    </w:p>
  </w:footnote>
  <w:footnote w:type="continuationSeparator" w:id="0">
    <w:p w14:paraId="0314DD08" w14:textId="77777777" w:rsidR="008F2AE8" w:rsidRDefault="008F2A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1F003E"/>
    <w:rsid w:val="000D32D4"/>
    <w:rsid w:val="001F003E"/>
    <w:rsid w:val="008F2A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8EE464"/>
  <w15:docId w15:val="{7457204A-81F2-4E3D-BEF1-B2162D7F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3"/>
      <w:ind w:left="941"/>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0D32D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D32D4"/>
    <w:rPr>
      <w:rFonts w:ascii="宋体" w:eastAsia="宋体" w:hAnsi="宋体" w:cs="宋体"/>
      <w:sz w:val="18"/>
      <w:szCs w:val="18"/>
      <w:lang w:val="zh-TW" w:eastAsia="zh-TW" w:bidi="zh-TW"/>
    </w:rPr>
  </w:style>
  <w:style w:type="paragraph" w:styleId="a7">
    <w:name w:val="footer"/>
    <w:basedOn w:val="a"/>
    <w:link w:val="a8"/>
    <w:uiPriority w:val="99"/>
    <w:unhideWhenUsed/>
    <w:rsid w:val="000D32D4"/>
    <w:pPr>
      <w:tabs>
        <w:tab w:val="center" w:pos="4153"/>
        <w:tab w:val="right" w:pos="8306"/>
      </w:tabs>
      <w:snapToGrid w:val="0"/>
    </w:pPr>
    <w:rPr>
      <w:sz w:val="18"/>
      <w:szCs w:val="18"/>
    </w:rPr>
  </w:style>
  <w:style w:type="character" w:customStyle="1" w:styleId="a8">
    <w:name w:val="页脚 字符"/>
    <w:basedOn w:val="a0"/>
    <w:link w:val="a7"/>
    <w:uiPriority w:val="99"/>
    <w:rsid w:val="000D32D4"/>
    <w:rPr>
      <w:rFonts w:ascii="宋体" w:eastAsia="宋体" w:hAnsi="宋体" w:cs="宋体"/>
      <w:sz w:val="18"/>
      <w:szCs w:val="1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8E18A-DDA0-4C39-8BDE-5E52DA2CA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國際財政司租稅協定科包文凱</dc:creator>
  <cp:lastModifiedBy>brianzeng</cp:lastModifiedBy>
  <cp:revision>2</cp:revision>
  <dcterms:created xsi:type="dcterms:W3CDTF">2021-03-06T07:08:00Z</dcterms:created>
  <dcterms:modified xsi:type="dcterms:W3CDTF">2021-03-06T09:43:00Z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2021-03-06T00:00:00Z</vt:filetime>
  </property>
</Properties>
</file>